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F39FC" w14:textId="77777777" w:rsidR="00953ABE" w:rsidRPr="000C7C4E" w:rsidRDefault="00953ABE">
      <w:pPr>
        <w:rPr>
          <w:rFonts w:ascii="Arial" w:hAnsi="Arial" w:cs="Arial"/>
          <w:b/>
          <w:color w:val="000000"/>
          <w:sz w:val="18"/>
          <w:szCs w:val="18"/>
        </w:rPr>
      </w:pPr>
    </w:p>
    <w:p w14:paraId="0FF985E1" w14:textId="77777777" w:rsidR="005603D5" w:rsidRPr="000C7C4E" w:rsidRDefault="005603D5">
      <w:pPr>
        <w:rPr>
          <w:rFonts w:ascii="Arial" w:hAnsi="Arial" w:cs="Arial"/>
          <w:b/>
          <w:color w:val="000000"/>
          <w:sz w:val="18"/>
          <w:szCs w:val="18"/>
        </w:rPr>
      </w:pPr>
    </w:p>
    <w:p w14:paraId="5F2F984C" w14:textId="77777777" w:rsidR="006B2B29" w:rsidRDefault="006B2B29" w:rsidP="00965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rPr>
      </w:pPr>
    </w:p>
    <w:p w14:paraId="3FF289E8" w14:textId="77777777" w:rsidR="006B2B29" w:rsidRDefault="006B2B29" w:rsidP="00965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rPr>
      </w:pPr>
    </w:p>
    <w:p w14:paraId="56A158C7" w14:textId="77777777" w:rsidR="006B2B29" w:rsidRDefault="006B2B29" w:rsidP="00965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rPr>
      </w:pPr>
    </w:p>
    <w:p w14:paraId="06D7BFC9" w14:textId="77777777" w:rsidR="006B2B29" w:rsidRDefault="006B2B29" w:rsidP="00965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rPr>
      </w:pPr>
    </w:p>
    <w:p w14:paraId="1DE52E4E" w14:textId="77777777" w:rsidR="006B2B29" w:rsidRDefault="006B2B29" w:rsidP="00965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rPr>
      </w:pPr>
    </w:p>
    <w:p w14:paraId="7C2E2738" w14:textId="77777777" w:rsidR="006B2B29" w:rsidRDefault="006B2B29" w:rsidP="00965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rPr>
      </w:pPr>
    </w:p>
    <w:p w14:paraId="077594DF" w14:textId="78DDD8A7" w:rsidR="0096574E" w:rsidRPr="00CD184C" w:rsidRDefault="0096574E" w:rsidP="00965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rPr>
      </w:pPr>
      <w:r w:rsidRPr="00CD184C">
        <w:rPr>
          <w:rFonts w:ascii="Arial" w:hAnsi="Arial" w:cs="Arial"/>
          <w:b/>
          <w:color w:val="000000"/>
        </w:rPr>
        <w:t>Information for Women's and Gender Studies Majors**</w:t>
      </w:r>
    </w:p>
    <w:p w14:paraId="2CC1DEAB" w14:textId="73649949" w:rsidR="00257718" w:rsidRPr="00CD184C" w:rsidRDefault="0096574E" w:rsidP="0096574E">
      <w:pPr>
        <w:jc w:val="center"/>
        <w:rPr>
          <w:rFonts w:ascii="Arial" w:hAnsi="Arial" w:cs="Arial"/>
          <w:b/>
          <w:color w:val="000000"/>
        </w:rPr>
      </w:pPr>
      <w:r w:rsidRPr="00CD184C">
        <w:rPr>
          <w:rFonts w:ascii="Arial" w:hAnsi="Arial" w:cs="Arial"/>
          <w:color w:val="000000"/>
          <w:sz w:val="18"/>
          <w:szCs w:val="18"/>
        </w:rPr>
        <w:t xml:space="preserve">(Effective </w:t>
      </w:r>
      <w:proofErr w:type="gramStart"/>
      <w:r w:rsidRPr="00CD184C">
        <w:rPr>
          <w:rFonts w:ascii="Arial" w:hAnsi="Arial" w:cs="Arial"/>
          <w:color w:val="000000"/>
          <w:sz w:val="18"/>
          <w:szCs w:val="18"/>
        </w:rPr>
        <w:t>January,</w:t>
      </w:r>
      <w:proofErr w:type="gramEnd"/>
      <w:r w:rsidRPr="00CD184C">
        <w:rPr>
          <w:rFonts w:ascii="Arial" w:hAnsi="Arial" w:cs="Arial"/>
          <w:color w:val="000000"/>
          <w:sz w:val="18"/>
          <w:szCs w:val="18"/>
        </w:rPr>
        <w:t xml:space="preserve"> 2018)</w:t>
      </w:r>
      <w:r w:rsidRPr="00CD184C">
        <w:rPr>
          <w:rFonts w:ascii="Arial" w:hAnsi="Arial" w:cs="Arial"/>
          <w:color w:val="000000"/>
          <w:sz w:val="18"/>
          <w:szCs w:val="18"/>
        </w:rPr>
        <w:br/>
      </w:r>
      <w:r w:rsidR="004F6BD9" w:rsidRPr="00CD184C">
        <w:rPr>
          <w:rFonts w:ascii="Arial" w:hAnsi="Arial" w:cs="Arial"/>
          <w:color w:val="000000"/>
          <w:sz w:val="18"/>
          <w:szCs w:val="18"/>
        </w:rPr>
        <w:br/>
      </w:r>
      <w:r w:rsidRPr="00CD184C">
        <w:rPr>
          <w:rFonts w:ascii="Arial" w:hAnsi="Arial" w:cs="Arial"/>
          <w:color w:val="000000"/>
          <w:sz w:val="18"/>
          <w:szCs w:val="18"/>
        </w:rPr>
        <w:t>Welcome to the Women’s and Gender Studies (WGST) Department!</w:t>
      </w:r>
      <w:r w:rsidR="004F6BD9" w:rsidRPr="00CD184C">
        <w:rPr>
          <w:rFonts w:ascii="Arial" w:hAnsi="Arial" w:cs="Arial"/>
          <w:color w:val="000000"/>
          <w:sz w:val="18"/>
          <w:szCs w:val="18"/>
        </w:rPr>
        <w:br/>
      </w:r>
      <w:r w:rsidR="004F6BD9" w:rsidRPr="00CD184C">
        <w:rPr>
          <w:rFonts w:ascii="Arial" w:hAnsi="Arial" w:cs="Arial"/>
          <w:b/>
          <w:color w:val="000000"/>
          <w:sz w:val="18"/>
          <w:szCs w:val="18"/>
        </w:rPr>
        <w:br/>
      </w:r>
      <w:r w:rsidR="00257718" w:rsidRPr="00CD184C">
        <w:rPr>
          <w:rFonts w:ascii="Arial" w:hAnsi="Arial" w:cs="Arial"/>
          <w:b/>
          <w:color w:val="000000"/>
        </w:rPr>
        <w:t>Course Requirement</w:t>
      </w:r>
      <w:r w:rsidR="00B74F17" w:rsidRPr="00CD184C">
        <w:rPr>
          <w:rFonts w:ascii="Arial" w:hAnsi="Arial" w:cs="Arial"/>
          <w:b/>
          <w:color w:val="000000"/>
        </w:rPr>
        <w:t>s</w:t>
      </w:r>
      <w:r w:rsidR="00257718" w:rsidRPr="00CD184C">
        <w:rPr>
          <w:rFonts w:ascii="Arial" w:hAnsi="Arial" w:cs="Arial"/>
          <w:b/>
          <w:color w:val="000000"/>
        </w:rPr>
        <w:t xml:space="preserve"> for Majors in Women’s and Gender Studies</w:t>
      </w:r>
    </w:p>
    <w:p w14:paraId="04C0305A" w14:textId="53D77613" w:rsidR="00257718" w:rsidRPr="00CD184C" w:rsidRDefault="00075753" w:rsidP="00981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rPr>
      </w:pPr>
      <w:r w:rsidRPr="00CD184C">
        <w:rPr>
          <w:rFonts w:ascii="Arial" w:hAnsi="Arial" w:cs="Arial"/>
          <w:color w:val="000000"/>
          <w:sz w:val="18"/>
          <w:szCs w:val="18"/>
        </w:rPr>
        <w:br/>
      </w:r>
      <w:r w:rsidR="00257718" w:rsidRPr="00CD184C">
        <w:rPr>
          <w:rFonts w:ascii="Arial" w:hAnsi="Arial" w:cs="Arial"/>
          <w:color w:val="000000"/>
          <w:sz w:val="18"/>
          <w:szCs w:val="18"/>
        </w:rPr>
        <w:t>Date</w:t>
      </w:r>
      <w:proofErr w:type="gramStart"/>
      <w:r w:rsidR="00257718" w:rsidRPr="00CD184C">
        <w:rPr>
          <w:rFonts w:ascii="Arial" w:hAnsi="Arial" w:cs="Arial"/>
          <w:color w:val="000000"/>
          <w:sz w:val="18"/>
          <w:szCs w:val="18"/>
        </w:rPr>
        <w:t>:_</w:t>
      </w:r>
      <w:proofErr w:type="gramEnd"/>
      <w:r w:rsidR="00257718" w:rsidRPr="00CD184C">
        <w:rPr>
          <w:rFonts w:ascii="Arial" w:hAnsi="Arial" w:cs="Arial"/>
          <w:color w:val="000000"/>
          <w:sz w:val="18"/>
          <w:szCs w:val="18"/>
        </w:rPr>
        <w:t>________</w:t>
      </w:r>
      <w:r w:rsidR="008C24CF" w:rsidRPr="00CD184C">
        <w:rPr>
          <w:rFonts w:ascii="Arial" w:hAnsi="Arial" w:cs="Arial"/>
          <w:color w:val="000000"/>
          <w:sz w:val="18"/>
          <w:szCs w:val="18"/>
        </w:rPr>
        <w:t>___________________</w:t>
      </w:r>
      <w:r w:rsidR="005F3C44" w:rsidRPr="00CD184C">
        <w:rPr>
          <w:rFonts w:ascii="Arial" w:hAnsi="Arial" w:cs="Arial"/>
          <w:color w:val="000000"/>
          <w:sz w:val="18"/>
          <w:szCs w:val="18"/>
        </w:rPr>
        <w:t>____________</w:t>
      </w:r>
      <w:r w:rsidR="008C24CF" w:rsidRPr="00CD184C">
        <w:rPr>
          <w:rFonts w:ascii="Arial" w:hAnsi="Arial" w:cs="Arial"/>
          <w:color w:val="000000"/>
          <w:sz w:val="18"/>
          <w:szCs w:val="18"/>
        </w:rPr>
        <w:t>___</w:t>
      </w:r>
      <w:r w:rsidR="005F3C44" w:rsidRPr="00CD184C">
        <w:rPr>
          <w:rFonts w:ascii="Arial" w:hAnsi="Arial" w:cs="Arial"/>
          <w:color w:val="000000"/>
          <w:sz w:val="18"/>
          <w:szCs w:val="18"/>
        </w:rPr>
        <w:t xml:space="preserve"> </w:t>
      </w:r>
      <w:r w:rsidR="005F3C44" w:rsidRPr="00CD184C">
        <w:rPr>
          <w:rFonts w:ascii="Arial" w:hAnsi="Arial" w:cs="Arial"/>
          <w:color w:val="000000"/>
          <w:sz w:val="18"/>
          <w:szCs w:val="18"/>
        </w:rPr>
        <w:tab/>
        <w:t xml:space="preserve">          Class Year:__________</w:t>
      </w:r>
    </w:p>
    <w:p w14:paraId="1B26959A" w14:textId="77777777" w:rsidR="008C24CF" w:rsidRPr="00CD184C" w:rsidRDefault="008C24CF" w:rsidP="00981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rPr>
      </w:pPr>
    </w:p>
    <w:p w14:paraId="3BB07C0F" w14:textId="70FCE4EF" w:rsidR="005F3C44" w:rsidRPr="00CD184C" w:rsidRDefault="00257718" w:rsidP="005F3C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rPr>
      </w:pPr>
      <w:r w:rsidRPr="00CD184C">
        <w:rPr>
          <w:rFonts w:ascii="Arial" w:hAnsi="Arial" w:cs="Arial"/>
          <w:color w:val="000000"/>
          <w:sz w:val="18"/>
          <w:szCs w:val="18"/>
        </w:rPr>
        <w:t>Name</w:t>
      </w:r>
      <w:proofErr w:type="gramStart"/>
      <w:r w:rsidRPr="00CD184C">
        <w:rPr>
          <w:rFonts w:ascii="Arial" w:hAnsi="Arial" w:cs="Arial"/>
          <w:color w:val="000000"/>
          <w:sz w:val="18"/>
          <w:szCs w:val="18"/>
        </w:rPr>
        <w:t>:</w:t>
      </w:r>
      <w:r w:rsidR="009347B3" w:rsidRPr="00CD184C">
        <w:rPr>
          <w:rFonts w:ascii="Arial" w:hAnsi="Arial" w:cs="Arial"/>
          <w:color w:val="000000"/>
          <w:sz w:val="18"/>
          <w:szCs w:val="18"/>
        </w:rPr>
        <w:t>_</w:t>
      </w:r>
      <w:proofErr w:type="gramEnd"/>
      <w:r w:rsidR="009347B3" w:rsidRPr="00CD184C">
        <w:rPr>
          <w:rFonts w:ascii="Arial" w:hAnsi="Arial" w:cs="Arial"/>
          <w:color w:val="000000"/>
          <w:sz w:val="18"/>
          <w:szCs w:val="18"/>
        </w:rPr>
        <w:t>________________</w:t>
      </w:r>
      <w:r w:rsidR="008C24CF" w:rsidRPr="00CD184C">
        <w:rPr>
          <w:rFonts w:ascii="Arial" w:hAnsi="Arial" w:cs="Arial"/>
          <w:color w:val="000000"/>
          <w:sz w:val="18"/>
          <w:szCs w:val="18"/>
        </w:rPr>
        <w:t>_____________</w:t>
      </w:r>
      <w:r w:rsidR="005F3C44" w:rsidRPr="00CD184C">
        <w:rPr>
          <w:rFonts w:ascii="Arial" w:hAnsi="Arial" w:cs="Arial"/>
          <w:color w:val="000000"/>
          <w:sz w:val="18"/>
          <w:szCs w:val="18"/>
        </w:rPr>
        <w:t>______  Email:</w:t>
      </w:r>
      <w:r w:rsidR="005F3C44" w:rsidRPr="00CD184C">
        <w:rPr>
          <w:rFonts w:ascii="Arial" w:hAnsi="Arial" w:cs="Arial"/>
          <w:color w:val="000000"/>
          <w:sz w:val="18"/>
          <w:szCs w:val="18"/>
        </w:rPr>
        <w:softHyphen/>
      </w:r>
      <w:r w:rsidR="005F3C44" w:rsidRPr="00CD184C">
        <w:rPr>
          <w:rFonts w:ascii="Arial" w:hAnsi="Arial" w:cs="Arial"/>
          <w:color w:val="000000"/>
          <w:sz w:val="18"/>
          <w:szCs w:val="18"/>
        </w:rPr>
        <w:softHyphen/>
      </w:r>
      <w:r w:rsidR="005F3C44" w:rsidRPr="00CD184C">
        <w:rPr>
          <w:rFonts w:ascii="Arial" w:hAnsi="Arial" w:cs="Arial"/>
          <w:color w:val="000000"/>
          <w:sz w:val="18"/>
          <w:szCs w:val="18"/>
        </w:rPr>
        <w:softHyphen/>
      </w:r>
      <w:r w:rsidR="005F3C44" w:rsidRPr="00CD184C">
        <w:rPr>
          <w:rFonts w:ascii="Arial" w:hAnsi="Arial" w:cs="Arial"/>
          <w:color w:val="000000"/>
          <w:sz w:val="18"/>
          <w:szCs w:val="18"/>
        </w:rPr>
        <w:softHyphen/>
      </w:r>
      <w:r w:rsidR="005F3C44" w:rsidRPr="00CD184C">
        <w:rPr>
          <w:rFonts w:ascii="Arial" w:hAnsi="Arial" w:cs="Arial"/>
          <w:color w:val="000000"/>
          <w:sz w:val="18"/>
          <w:szCs w:val="18"/>
        </w:rPr>
        <w:softHyphen/>
      </w:r>
      <w:r w:rsidR="005F3C44" w:rsidRPr="00CD184C">
        <w:rPr>
          <w:rFonts w:ascii="Arial" w:hAnsi="Arial" w:cs="Arial"/>
          <w:color w:val="000000"/>
          <w:sz w:val="18"/>
          <w:szCs w:val="18"/>
        </w:rPr>
        <w:softHyphen/>
      </w:r>
      <w:r w:rsidR="005F3C44" w:rsidRPr="00CD184C">
        <w:rPr>
          <w:rFonts w:ascii="Arial" w:hAnsi="Arial" w:cs="Arial"/>
          <w:color w:val="000000"/>
          <w:sz w:val="18"/>
          <w:szCs w:val="18"/>
        </w:rPr>
        <w:softHyphen/>
      </w:r>
      <w:r w:rsidR="005F3C44" w:rsidRPr="00CD184C">
        <w:rPr>
          <w:rFonts w:ascii="Arial" w:hAnsi="Arial" w:cs="Arial"/>
          <w:color w:val="000000"/>
          <w:sz w:val="18"/>
          <w:szCs w:val="18"/>
        </w:rPr>
        <w:softHyphen/>
      </w:r>
      <w:r w:rsidR="005F3C44" w:rsidRPr="00CD184C">
        <w:rPr>
          <w:rFonts w:ascii="Arial" w:hAnsi="Arial" w:cs="Arial"/>
          <w:color w:val="000000"/>
          <w:sz w:val="18"/>
          <w:szCs w:val="18"/>
        </w:rPr>
        <w:softHyphen/>
        <w:t>_________________@wellesley.edu</w:t>
      </w:r>
    </w:p>
    <w:p w14:paraId="00128779" w14:textId="77777777" w:rsidR="00257718" w:rsidRPr="00CD184C" w:rsidRDefault="00257718" w:rsidP="00981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rPr>
      </w:pPr>
    </w:p>
    <w:p w14:paraId="2D21ADBA" w14:textId="12C8C1F1" w:rsidR="00257718" w:rsidRPr="00CD184C" w:rsidRDefault="00257718" w:rsidP="00981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rPr>
      </w:pPr>
      <w:r w:rsidRPr="00CD184C">
        <w:rPr>
          <w:rFonts w:ascii="Arial" w:hAnsi="Arial" w:cs="Arial"/>
          <w:color w:val="000000"/>
          <w:sz w:val="18"/>
          <w:szCs w:val="18"/>
        </w:rPr>
        <w:t>Preferred name and pronouns</w:t>
      </w:r>
      <w:proofErr w:type="gramStart"/>
      <w:r w:rsidRPr="00CD184C">
        <w:rPr>
          <w:rFonts w:ascii="Arial" w:hAnsi="Arial" w:cs="Arial"/>
          <w:color w:val="000000"/>
          <w:sz w:val="18"/>
          <w:szCs w:val="18"/>
        </w:rPr>
        <w:t>:</w:t>
      </w:r>
      <w:r w:rsidR="009347B3" w:rsidRPr="00CD184C">
        <w:rPr>
          <w:rFonts w:ascii="Arial" w:hAnsi="Arial" w:cs="Arial"/>
          <w:color w:val="000000"/>
          <w:sz w:val="18"/>
          <w:szCs w:val="18"/>
        </w:rPr>
        <w:t>_</w:t>
      </w:r>
      <w:proofErr w:type="gramEnd"/>
      <w:r w:rsidR="009347B3" w:rsidRPr="00CD184C">
        <w:rPr>
          <w:rFonts w:ascii="Arial" w:hAnsi="Arial" w:cs="Arial"/>
          <w:color w:val="000000"/>
          <w:sz w:val="18"/>
          <w:szCs w:val="18"/>
        </w:rPr>
        <w:t>____________________</w:t>
      </w:r>
      <w:r w:rsidR="005F3C44" w:rsidRPr="00CD184C">
        <w:rPr>
          <w:rFonts w:ascii="Arial" w:hAnsi="Arial" w:cs="Arial"/>
          <w:color w:val="000000"/>
          <w:sz w:val="18"/>
          <w:szCs w:val="18"/>
        </w:rPr>
        <w:t>____</w:t>
      </w:r>
      <w:r w:rsidR="009347B3" w:rsidRPr="00CD184C">
        <w:rPr>
          <w:rFonts w:ascii="Arial" w:hAnsi="Arial" w:cs="Arial"/>
          <w:color w:val="000000"/>
          <w:sz w:val="18"/>
          <w:szCs w:val="18"/>
        </w:rPr>
        <w:t>_</w:t>
      </w:r>
      <w:r w:rsidR="008C24CF" w:rsidRPr="00CD184C">
        <w:rPr>
          <w:rFonts w:ascii="Arial" w:hAnsi="Arial" w:cs="Arial"/>
          <w:color w:val="000000"/>
          <w:sz w:val="18"/>
          <w:szCs w:val="18"/>
        </w:rPr>
        <w:t>__</w:t>
      </w:r>
      <w:r w:rsidR="009347B3" w:rsidRPr="00CD184C">
        <w:rPr>
          <w:rFonts w:ascii="Arial" w:hAnsi="Arial" w:cs="Arial"/>
          <w:color w:val="000000"/>
          <w:sz w:val="18"/>
          <w:szCs w:val="18"/>
        </w:rPr>
        <w:t>___</w:t>
      </w:r>
      <w:r w:rsidRPr="00CD184C">
        <w:rPr>
          <w:rFonts w:ascii="Arial" w:hAnsi="Arial" w:cs="Arial"/>
          <w:color w:val="000000"/>
          <w:sz w:val="18"/>
          <w:szCs w:val="18"/>
        </w:rPr>
        <w:softHyphen/>
      </w:r>
      <w:r w:rsidRPr="00CD184C">
        <w:rPr>
          <w:rFonts w:ascii="Arial" w:hAnsi="Arial" w:cs="Arial"/>
          <w:color w:val="000000"/>
          <w:sz w:val="18"/>
          <w:szCs w:val="18"/>
        </w:rPr>
        <w:softHyphen/>
      </w:r>
      <w:r w:rsidRPr="00CD184C">
        <w:rPr>
          <w:rFonts w:ascii="Arial" w:hAnsi="Arial" w:cs="Arial"/>
          <w:color w:val="000000"/>
          <w:sz w:val="18"/>
          <w:szCs w:val="18"/>
        </w:rPr>
        <w:softHyphen/>
      </w:r>
      <w:r w:rsidRPr="00CD184C">
        <w:rPr>
          <w:rFonts w:ascii="Arial" w:hAnsi="Arial" w:cs="Arial"/>
          <w:color w:val="000000"/>
          <w:sz w:val="18"/>
          <w:szCs w:val="18"/>
        </w:rPr>
        <w:softHyphen/>
      </w:r>
      <w:r w:rsidRPr="00CD184C">
        <w:rPr>
          <w:rFonts w:ascii="Arial" w:hAnsi="Arial" w:cs="Arial"/>
          <w:color w:val="000000"/>
          <w:sz w:val="18"/>
          <w:szCs w:val="18"/>
        </w:rPr>
        <w:softHyphen/>
      </w:r>
      <w:r w:rsidRPr="00CD184C">
        <w:rPr>
          <w:rFonts w:ascii="Arial" w:hAnsi="Arial" w:cs="Arial"/>
          <w:color w:val="000000"/>
          <w:sz w:val="18"/>
          <w:szCs w:val="18"/>
        </w:rPr>
        <w:softHyphen/>
      </w:r>
      <w:r w:rsidRPr="00CD184C">
        <w:rPr>
          <w:rFonts w:ascii="Arial" w:hAnsi="Arial" w:cs="Arial"/>
          <w:color w:val="000000"/>
          <w:sz w:val="18"/>
          <w:szCs w:val="18"/>
        </w:rPr>
        <w:softHyphen/>
      </w:r>
      <w:r w:rsidRPr="00CD184C">
        <w:rPr>
          <w:rFonts w:ascii="Arial" w:hAnsi="Arial" w:cs="Arial"/>
          <w:color w:val="000000"/>
          <w:sz w:val="18"/>
          <w:szCs w:val="18"/>
        </w:rPr>
        <w:softHyphen/>
        <w:t>__________</w:t>
      </w:r>
      <w:r w:rsidR="009347B3" w:rsidRPr="00CD184C">
        <w:rPr>
          <w:rFonts w:ascii="Arial" w:hAnsi="Arial" w:cs="Arial"/>
          <w:color w:val="000000"/>
          <w:sz w:val="18"/>
          <w:szCs w:val="18"/>
        </w:rPr>
        <w:t>_____</w:t>
      </w:r>
      <w:r w:rsidR="00A40E3C" w:rsidRPr="00CD184C">
        <w:rPr>
          <w:rFonts w:ascii="Arial" w:hAnsi="Arial" w:cs="Arial"/>
          <w:color w:val="000000"/>
          <w:sz w:val="18"/>
          <w:szCs w:val="18"/>
        </w:rPr>
        <w:t>_</w:t>
      </w:r>
      <w:r w:rsidR="009347B3" w:rsidRPr="00CD184C">
        <w:rPr>
          <w:rFonts w:ascii="Arial" w:hAnsi="Arial" w:cs="Arial"/>
          <w:color w:val="000000"/>
          <w:sz w:val="18"/>
          <w:szCs w:val="18"/>
        </w:rPr>
        <w:t>_____</w:t>
      </w:r>
    </w:p>
    <w:p w14:paraId="03AEA227" w14:textId="553309F7" w:rsidR="000C7C4E" w:rsidRPr="00CD184C" w:rsidRDefault="000C7C4E" w:rsidP="000C7C4E">
      <w:pPr>
        <w:pStyle w:val="sc-BodyText"/>
        <w:spacing w:line="240" w:lineRule="auto"/>
        <w:rPr>
          <w:rFonts w:ascii="Arial" w:hAnsi="Arial" w:cs="Arial"/>
          <w:sz w:val="18"/>
          <w:szCs w:val="18"/>
        </w:rPr>
      </w:pPr>
      <w:r w:rsidRPr="00CD184C">
        <w:rPr>
          <w:rFonts w:ascii="Arial" w:hAnsi="Arial" w:cs="Arial"/>
          <w:sz w:val="18"/>
          <w:szCs w:val="18"/>
        </w:rPr>
        <w:br/>
        <w:t>A major in Women’s and Gender Studies offers an opportunity for the interdisciplinary study of women from the perspectives of the humanities, sciences, and social sciences. Women’s and Gender Studies majors seek an understanding of the new intellectual frameworks that are reshaping critical thought about the meaning and role of gender in human life. Majors pursue knowledge of gendered experiences in diverse cultures and across time, examining the ways in which race, social class, sexuality, and ethnicity are constitutive of that experience.</w:t>
      </w:r>
    </w:p>
    <w:p w14:paraId="5D8F6A5D" w14:textId="77777777" w:rsidR="000C7C4E" w:rsidRPr="00CD184C" w:rsidRDefault="000C7C4E" w:rsidP="000C7C4E">
      <w:pPr>
        <w:pStyle w:val="sc-BodyText"/>
        <w:spacing w:line="240" w:lineRule="auto"/>
        <w:rPr>
          <w:rFonts w:ascii="Arial" w:hAnsi="Arial" w:cs="Arial"/>
          <w:sz w:val="18"/>
          <w:szCs w:val="18"/>
        </w:rPr>
      </w:pPr>
    </w:p>
    <w:p w14:paraId="61F05477" w14:textId="77777777" w:rsidR="000C7C4E" w:rsidRPr="00CD184C" w:rsidRDefault="000C7C4E" w:rsidP="000C7C4E">
      <w:pPr>
        <w:spacing w:after="240"/>
        <w:rPr>
          <w:rFonts w:ascii="Arial" w:eastAsia="Times New Roman" w:hAnsi="Arial" w:cs="Arial"/>
          <w:color w:val="222222"/>
          <w:sz w:val="18"/>
          <w:szCs w:val="18"/>
        </w:rPr>
      </w:pPr>
      <w:r w:rsidRPr="00CD184C">
        <w:rPr>
          <w:rFonts w:ascii="Arial" w:eastAsia="Times New Roman" w:hAnsi="Arial" w:cs="Arial"/>
          <w:color w:val="222222"/>
          <w:sz w:val="18"/>
          <w:szCs w:val="18"/>
        </w:rPr>
        <w:t>The major requires nine credits; 5 units must be taken in the Women's and Gender Studies department. The additional 4 units may be from the department or from the list of courses for credit toward the Women's and Gender Studies Major and Minor. In addition, other Wellesley College courses related to Women's and Gender Studies or courses taken at other institutions may be approved to count toward the major, with the approval of the student's major advisor.</w:t>
      </w:r>
    </w:p>
    <w:p w14:paraId="5BE53B89" w14:textId="50F2CEF5" w:rsidR="000C7C4E" w:rsidRPr="00CD184C" w:rsidRDefault="000C7C4E" w:rsidP="000C7C4E">
      <w:pPr>
        <w:rPr>
          <w:rFonts w:ascii="Arial" w:eastAsia="Times New Roman" w:hAnsi="Arial" w:cs="Arial"/>
          <w:color w:val="222222"/>
          <w:sz w:val="18"/>
          <w:szCs w:val="18"/>
        </w:rPr>
      </w:pPr>
      <w:r w:rsidRPr="00CD184C">
        <w:rPr>
          <w:rFonts w:ascii="Arial" w:eastAsia="Times New Roman" w:hAnsi="Arial" w:cs="Arial"/>
          <w:color w:val="222222"/>
          <w:sz w:val="18"/>
          <w:szCs w:val="18"/>
        </w:rPr>
        <w:t>The major requires one unit from the WGST 100-level courses; it is recommended that students start their major with this course. W</w:t>
      </w:r>
      <w:r w:rsidR="00E9679B">
        <w:rPr>
          <w:rFonts w:ascii="Arial" w:eastAsia="Times New Roman" w:hAnsi="Arial" w:cs="Arial"/>
          <w:color w:val="222222"/>
          <w:sz w:val="18"/>
          <w:szCs w:val="18"/>
        </w:rPr>
        <w:t xml:space="preserve">RIT </w:t>
      </w:r>
      <w:r w:rsidRPr="00CD184C">
        <w:rPr>
          <w:rFonts w:ascii="Arial" w:eastAsia="Times New Roman" w:hAnsi="Arial" w:cs="Arial"/>
          <w:color w:val="222222"/>
          <w:sz w:val="18"/>
          <w:szCs w:val="18"/>
        </w:rPr>
        <w:t>164 may be counted as this 100-level course for the WGST major. Students may count one other 100-level WGST course towards their major. In addition, students are required to take two 300-level courses in WGST; one of these courses must be WGST312, 313, or 360/370 (which count as one course for this purpose). WGST350/350H does not meet the requirement of two WGST seminars, but may be counted towards the major.</w:t>
      </w:r>
    </w:p>
    <w:p w14:paraId="0429DC9A" w14:textId="77777777" w:rsidR="000C7C4E" w:rsidRPr="00CD184C" w:rsidRDefault="000C7C4E" w:rsidP="000C7C4E">
      <w:pPr>
        <w:rPr>
          <w:rFonts w:ascii="Arial" w:hAnsi="Arial" w:cs="Arial"/>
          <w:sz w:val="18"/>
          <w:szCs w:val="18"/>
        </w:rPr>
      </w:pPr>
    </w:p>
    <w:p w14:paraId="5500ADA7" w14:textId="77777777" w:rsidR="000C7C4E" w:rsidRPr="00CD184C" w:rsidRDefault="000C7C4E" w:rsidP="000C7C4E">
      <w:pPr>
        <w:pStyle w:val="sc-BodyText"/>
        <w:spacing w:line="240" w:lineRule="auto"/>
        <w:rPr>
          <w:rFonts w:ascii="Arial" w:hAnsi="Arial" w:cs="Arial"/>
          <w:sz w:val="18"/>
          <w:szCs w:val="18"/>
        </w:rPr>
      </w:pPr>
      <w:r w:rsidRPr="00CD184C">
        <w:rPr>
          <w:rFonts w:ascii="Arial" w:hAnsi="Arial" w:cs="Arial"/>
          <w:sz w:val="18"/>
          <w:szCs w:val="18"/>
        </w:rPr>
        <w:t xml:space="preserve">Courses at the 100 </w:t>
      </w:r>
      <w:proofErr w:type="gramStart"/>
      <w:r w:rsidRPr="00CD184C">
        <w:rPr>
          <w:rFonts w:ascii="Arial" w:hAnsi="Arial" w:cs="Arial"/>
          <w:sz w:val="18"/>
          <w:szCs w:val="18"/>
        </w:rPr>
        <w:t>level</w:t>
      </w:r>
      <w:proofErr w:type="gramEnd"/>
      <w:r w:rsidRPr="00CD184C">
        <w:rPr>
          <w:rFonts w:ascii="Arial" w:hAnsi="Arial" w:cs="Arial"/>
          <w:sz w:val="18"/>
          <w:szCs w:val="18"/>
        </w:rPr>
        <w:t xml:space="preserve"> are introductions to topics in Women’s and Gender Studies. They are taught from the perspective of each faculty member’s specialty. Courses at the 200 </w:t>
      </w:r>
      <w:proofErr w:type="gramStart"/>
      <w:r w:rsidRPr="00CD184C">
        <w:rPr>
          <w:rFonts w:ascii="Arial" w:hAnsi="Arial" w:cs="Arial"/>
          <w:sz w:val="18"/>
          <w:szCs w:val="18"/>
        </w:rPr>
        <w:t>level</w:t>
      </w:r>
      <w:proofErr w:type="gramEnd"/>
      <w:r w:rsidRPr="00CD184C">
        <w:rPr>
          <w:rFonts w:ascii="Arial" w:hAnsi="Arial" w:cs="Arial"/>
          <w:sz w:val="18"/>
          <w:szCs w:val="18"/>
        </w:rPr>
        <w:t xml:space="preserve"> are overviews to substantive areas. Courses at the 300 </w:t>
      </w:r>
      <w:proofErr w:type="gramStart"/>
      <w:r w:rsidRPr="00CD184C">
        <w:rPr>
          <w:rFonts w:ascii="Arial" w:hAnsi="Arial" w:cs="Arial"/>
          <w:sz w:val="18"/>
          <w:szCs w:val="18"/>
        </w:rPr>
        <w:t>level</w:t>
      </w:r>
      <w:proofErr w:type="gramEnd"/>
      <w:r w:rsidRPr="00CD184C">
        <w:rPr>
          <w:rFonts w:ascii="Arial" w:hAnsi="Arial" w:cs="Arial"/>
          <w:sz w:val="18"/>
          <w:szCs w:val="18"/>
        </w:rPr>
        <w:t xml:space="preserve"> provide in-depth examination of material covered in 200-level courses. We recommend that students take a course related to data-analysis in support of their WGST major.</w:t>
      </w:r>
    </w:p>
    <w:p w14:paraId="1612B1DE" w14:textId="77777777" w:rsidR="000C7C4E" w:rsidRPr="00CD184C" w:rsidRDefault="000C7C4E" w:rsidP="000C7C4E">
      <w:pPr>
        <w:pStyle w:val="sc-BodyText"/>
        <w:spacing w:line="240" w:lineRule="auto"/>
        <w:rPr>
          <w:rFonts w:ascii="Arial" w:hAnsi="Arial" w:cs="Arial"/>
          <w:b/>
          <w:sz w:val="18"/>
          <w:szCs w:val="18"/>
        </w:rPr>
      </w:pPr>
      <w:r w:rsidRPr="00CD184C">
        <w:rPr>
          <w:rFonts w:ascii="Arial" w:hAnsi="Arial" w:cs="Arial"/>
          <w:sz w:val="18"/>
          <w:szCs w:val="18"/>
        </w:rPr>
        <w:br/>
      </w:r>
      <w:r w:rsidRPr="00CD184C">
        <w:rPr>
          <w:rFonts w:ascii="Arial" w:hAnsi="Arial" w:cs="Arial"/>
          <w:b/>
          <w:sz w:val="18"/>
          <w:szCs w:val="18"/>
        </w:rPr>
        <w:t>Capstone Experience in Women’s and Gender Studies</w:t>
      </w:r>
    </w:p>
    <w:p w14:paraId="663E4F16" w14:textId="77777777" w:rsidR="000C7C4E" w:rsidRPr="00CD184C" w:rsidRDefault="000C7C4E" w:rsidP="000C7C4E">
      <w:pPr>
        <w:pStyle w:val="sc-BodyText"/>
        <w:spacing w:line="240" w:lineRule="auto"/>
        <w:rPr>
          <w:rFonts w:ascii="Arial" w:hAnsi="Arial" w:cs="Arial"/>
          <w:sz w:val="18"/>
          <w:szCs w:val="18"/>
        </w:rPr>
      </w:pPr>
      <w:r w:rsidRPr="00CD184C">
        <w:rPr>
          <w:rFonts w:ascii="Arial" w:hAnsi="Arial" w:cs="Arial"/>
          <w:sz w:val="18"/>
          <w:szCs w:val="18"/>
        </w:rPr>
        <w:t>All majors will be required to select a capstone experience, with the guidance of their advisor, from the following three options offered in 2018-19. They must declare their option by the end of their junior year.</w:t>
      </w:r>
    </w:p>
    <w:p w14:paraId="7F6CFD18" w14:textId="77777777" w:rsidR="000C7C4E" w:rsidRPr="00CD184C" w:rsidRDefault="000C7C4E" w:rsidP="000C7C4E">
      <w:pPr>
        <w:pStyle w:val="sc-BodyText"/>
        <w:spacing w:line="240" w:lineRule="auto"/>
        <w:rPr>
          <w:rFonts w:ascii="Arial" w:hAnsi="Arial" w:cs="Arial"/>
          <w:sz w:val="18"/>
          <w:szCs w:val="18"/>
        </w:rPr>
      </w:pPr>
      <w:r w:rsidRPr="00CD184C">
        <w:rPr>
          <w:rFonts w:ascii="Arial" w:hAnsi="Arial" w:cs="Arial"/>
          <w:sz w:val="18"/>
          <w:szCs w:val="18"/>
        </w:rPr>
        <w:t>Option 1: WGST 312 Seminar. Feminist Inquiry. </w:t>
      </w:r>
    </w:p>
    <w:p w14:paraId="13367676" w14:textId="77777777" w:rsidR="000C7C4E" w:rsidRPr="00CD184C" w:rsidRDefault="000C7C4E" w:rsidP="000C7C4E">
      <w:pPr>
        <w:pStyle w:val="sc-BodyText"/>
        <w:spacing w:line="240" w:lineRule="auto"/>
        <w:rPr>
          <w:rFonts w:ascii="Arial" w:hAnsi="Arial" w:cs="Arial"/>
          <w:sz w:val="18"/>
          <w:szCs w:val="18"/>
        </w:rPr>
      </w:pPr>
      <w:r w:rsidRPr="00CD184C">
        <w:rPr>
          <w:rFonts w:ascii="Arial" w:hAnsi="Arial" w:cs="Arial"/>
          <w:sz w:val="18"/>
          <w:szCs w:val="18"/>
        </w:rPr>
        <w:t>Option 2: WGST 313 (Fieldwork in Women’s and Gender Studies).</w:t>
      </w:r>
    </w:p>
    <w:p w14:paraId="2B6B4058" w14:textId="77777777" w:rsidR="000C7C4E" w:rsidRPr="00CD184C" w:rsidRDefault="000C7C4E" w:rsidP="000C7C4E">
      <w:pPr>
        <w:pStyle w:val="sc-BodyText"/>
        <w:spacing w:line="240" w:lineRule="auto"/>
        <w:rPr>
          <w:rFonts w:ascii="Arial" w:hAnsi="Arial" w:cs="Arial"/>
          <w:sz w:val="18"/>
          <w:szCs w:val="18"/>
        </w:rPr>
      </w:pPr>
      <w:proofErr w:type="gramStart"/>
      <w:r w:rsidRPr="00CD184C">
        <w:rPr>
          <w:rFonts w:ascii="Arial" w:hAnsi="Arial" w:cs="Arial"/>
          <w:sz w:val="18"/>
          <w:szCs w:val="18"/>
        </w:rPr>
        <w:t>Option 3: WGST 360/WGST 370 (Senior Thesis).</w:t>
      </w:r>
      <w:proofErr w:type="gramEnd"/>
    </w:p>
    <w:p w14:paraId="4C9041A4" w14:textId="77777777" w:rsidR="000C7C4E" w:rsidRPr="00CD184C" w:rsidRDefault="000C7C4E" w:rsidP="000C7C4E">
      <w:pPr>
        <w:pStyle w:val="sc-BodyText"/>
        <w:spacing w:line="240" w:lineRule="auto"/>
        <w:rPr>
          <w:rFonts w:ascii="Arial" w:hAnsi="Arial" w:cs="Arial"/>
          <w:sz w:val="18"/>
          <w:szCs w:val="18"/>
        </w:rPr>
      </w:pPr>
      <w:r w:rsidRPr="00CD184C">
        <w:rPr>
          <w:rFonts w:ascii="Arial" w:hAnsi="Arial" w:cs="Arial"/>
          <w:sz w:val="18"/>
          <w:szCs w:val="18"/>
        </w:rPr>
        <w:t>Option 3 is the traditional senior honors thesis, which requires two units during the senior year. See Academic Distinctions in this catalog for requirements. A thesis does not need to have an experiential component, but typically it is based on some original research. Option 2 must involve an experiential component.</w:t>
      </w:r>
    </w:p>
    <w:p w14:paraId="441A338B" w14:textId="41607BC5" w:rsidR="00202E15" w:rsidRPr="00CD184C" w:rsidRDefault="00202E15" w:rsidP="000C7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rPr>
      </w:pPr>
    </w:p>
    <w:p w14:paraId="104D980C" w14:textId="77777777" w:rsidR="006B2B29" w:rsidRDefault="006B2B29"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rPr>
      </w:pPr>
    </w:p>
    <w:p w14:paraId="0BCEABD0" w14:textId="77777777" w:rsidR="006B2B29" w:rsidRDefault="006B2B29"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rPr>
      </w:pPr>
    </w:p>
    <w:p w14:paraId="12A2032D" w14:textId="77777777" w:rsidR="006B2B29" w:rsidRDefault="006B2B29"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rPr>
      </w:pPr>
    </w:p>
    <w:p w14:paraId="6C607E72" w14:textId="77777777" w:rsidR="006B2B29" w:rsidRDefault="006B2B29"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rPr>
      </w:pPr>
    </w:p>
    <w:p w14:paraId="4CDFBA3C" w14:textId="77777777" w:rsidR="006B2B29" w:rsidRDefault="006B2B29"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rPr>
      </w:pPr>
    </w:p>
    <w:p w14:paraId="3DF877B9" w14:textId="77777777" w:rsidR="006B2B29" w:rsidRDefault="006B2B29"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rPr>
      </w:pPr>
    </w:p>
    <w:p w14:paraId="0015CB94" w14:textId="77777777" w:rsidR="006B2B29" w:rsidRPr="00CD184C" w:rsidRDefault="006B2B29"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rPr>
      </w:pPr>
    </w:p>
    <w:p w14:paraId="3F1A2D95" w14:textId="77777777" w:rsidR="006B2B29" w:rsidRDefault="006B2B29"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rPr>
      </w:pPr>
    </w:p>
    <w:p w14:paraId="6A5379EE" w14:textId="77777777" w:rsidR="006B2B29" w:rsidRDefault="006B2B29"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rPr>
      </w:pPr>
    </w:p>
    <w:p w14:paraId="0CB2DA63" w14:textId="3960A380" w:rsidR="000C7C4E" w:rsidRPr="00CD184C" w:rsidRDefault="00952318"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rPr>
      </w:pPr>
      <w:r w:rsidRPr="00CD184C">
        <w:rPr>
          <w:rFonts w:ascii="Arial" w:hAnsi="Arial" w:cs="Arial"/>
          <w:color w:val="000000"/>
          <w:sz w:val="18"/>
          <w:szCs w:val="18"/>
        </w:rPr>
        <w:t>(Majors worksheet on back)</w:t>
      </w:r>
    </w:p>
    <w:p w14:paraId="03FDC44E" w14:textId="77777777" w:rsidR="00952318" w:rsidRDefault="00952318"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p>
    <w:p w14:paraId="08F605FA" w14:textId="77777777" w:rsidR="009A4147" w:rsidRDefault="009A4147"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p>
    <w:p w14:paraId="79CB3FB6" w14:textId="77777777" w:rsidR="00076DCC" w:rsidRDefault="00076DCC"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p>
    <w:p w14:paraId="6C51E1C0" w14:textId="0BD9A37A" w:rsidR="0096574E" w:rsidRPr="00076DCC" w:rsidRDefault="0007575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076DCC">
        <w:rPr>
          <w:rFonts w:ascii="Arial" w:hAnsi="Arial" w:cs="Arial"/>
          <w:b/>
          <w:color w:val="000000"/>
        </w:rPr>
        <w:t>Majors Worksheet</w:t>
      </w:r>
    </w:p>
    <w:p w14:paraId="12526A7B" w14:textId="22123D52" w:rsidR="00D24BCA" w:rsidRPr="000C7C4E" w:rsidRDefault="002C59F2"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r w:rsidRPr="000C7C4E">
        <w:rPr>
          <w:rFonts w:ascii="Arial" w:hAnsi="Arial" w:cs="Arial"/>
          <w:b/>
          <w:color w:val="000000"/>
          <w:sz w:val="18"/>
          <w:szCs w:val="18"/>
        </w:rPr>
        <w:br/>
      </w:r>
      <w:r w:rsidR="00D24BCA" w:rsidRPr="000C7C4E">
        <w:rPr>
          <w:rFonts w:ascii="Arial" w:hAnsi="Arial" w:cs="Arial"/>
          <w:b/>
          <w:color w:val="000000"/>
          <w:sz w:val="18"/>
          <w:szCs w:val="18"/>
        </w:rPr>
        <w:t>Intro:</w:t>
      </w:r>
    </w:p>
    <w:tbl>
      <w:tblPr>
        <w:tblStyle w:val="TableGrid"/>
        <w:tblW w:w="9990" w:type="dxa"/>
        <w:tblInd w:w="18" w:type="dxa"/>
        <w:tblLook w:val="04A0" w:firstRow="1" w:lastRow="0" w:firstColumn="1" w:lastColumn="0" w:noHBand="0" w:noVBand="1"/>
      </w:tblPr>
      <w:tblGrid>
        <w:gridCol w:w="6276"/>
        <w:gridCol w:w="3360"/>
        <w:gridCol w:w="354"/>
      </w:tblGrid>
      <w:tr w:rsidR="00D24BCA" w:rsidRPr="000C7C4E" w14:paraId="1058ED29" w14:textId="77777777" w:rsidTr="00B55AC2">
        <w:trPr>
          <w:trHeight w:val="263"/>
        </w:trPr>
        <w:tc>
          <w:tcPr>
            <w:tcW w:w="6276" w:type="dxa"/>
          </w:tcPr>
          <w:p w14:paraId="68BE2406" w14:textId="77777777" w:rsidR="00D24BCA" w:rsidRPr="000C7C4E" w:rsidRDefault="00D24BCA" w:rsidP="00B55AC2">
            <w:pPr>
              <w:rPr>
                <w:rFonts w:ascii="Arial" w:hAnsi="Arial" w:cs="Arial"/>
                <w:b/>
                <w:sz w:val="18"/>
                <w:szCs w:val="18"/>
              </w:rPr>
            </w:pPr>
            <w:r w:rsidRPr="000C7C4E">
              <w:rPr>
                <w:rFonts w:ascii="Arial" w:hAnsi="Arial" w:cs="Arial"/>
                <w:b/>
                <w:sz w:val="18"/>
                <w:szCs w:val="18"/>
              </w:rPr>
              <w:t>1.</w:t>
            </w:r>
          </w:p>
          <w:p w14:paraId="6178F97B" w14:textId="77777777" w:rsidR="00D24BCA" w:rsidRPr="000C7C4E" w:rsidRDefault="00D24BCA" w:rsidP="00B55AC2">
            <w:pPr>
              <w:rPr>
                <w:rFonts w:ascii="Arial" w:hAnsi="Arial" w:cs="Arial"/>
                <w:b/>
                <w:sz w:val="18"/>
                <w:szCs w:val="18"/>
              </w:rPr>
            </w:pPr>
          </w:p>
        </w:tc>
        <w:tc>
          <w:tcPr>
            <w:tcW w:w="3360" w:type="dxa"/>
          </w:tcPr>
          <w:p w14:paraId="7907D4D2" w14:textId="77777777" w:rsidR="00D24BCA" w:rsidRPr="000C7C4E" w:rsidRDefault="00D24BCA" w:rsidP="00B55AC2">
            <w:pPr>
              <w:rPr>
                <w:rFonts w:ascii="Arial" w:hAnsi="Arial" w:cs="Arial"/>
                <w:b/>
                <w:sz w:val="18"/>
                <w:szCs w:val="18"/>
              </w:rPr>
            </w:pPr>
          </w:p>
        </w:tc>
        <w:tc>
          <w:tcPr>
            <w:tcW w:w="354" w:type="dxa"/>
          </w:tcPr>
          <w:p w14:paraId="3C7C8722" w14:textId="77777777" w:rsidR="00D24BCA" w:rsidRPr="000C7C4E" w:rsidRDefault="00D24BCA" w:rsidP="00B55AC2">
            <w:pPr>
              <w:rPr>
                <w:rFonts w:ascii="Arial" w:hAnsi="Arial" w:cs="Arial"/>
                <w:b/>
                <w:sz w:val="18"/>
                <w:szCs w:val="18"/>
              </w:rPr>
            </w:pPr>
          </w:p>
        </w:tc>
      </w:tr>
    </w:tbl>
    <w:p w14:paraId="71CD8995" w14:textId="77777777" w:rsidR="0096574E" w:rsidRPr="000C7C4E" w:rsidRDefault="0096574E" w:rsidP="00614744">
      <w:pPr>
        <w:widowControl w:val="0"/>
        <w:pBdr>
          <w:bar w:val="single" w:sz="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p>
    <w:p w14:paraId="0D703082" w14:textId="17DC901E" w:rsidR="00614744" w:rsidRPr="000C7C4E" w:rsidRDefault="008C6B39" w:rsidP="00614744">
      <w:pPr>
        <w:widowControl w:val="0"/>
        <w:pBdr>
          <w:bar w:val="single" w:sz="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r w:rsidRPr="000C7C4E">
        <w:rPr>
          <w:rFonts w:ascii="Arial" w:hAnsi="Arial" w:cs="Arial"/>
          <w:b/>
          <w:color w:val="000000"/>
          <w:sz w:val="18"/>
          <w:szCs w:val="18"/>
        </w:rPr>
        <w:t>Department, Course #, and Course Title</w:t>
      </w:r>
      <w:r w:rsidRPr="000C7C4E">
        <w:rPr>
          <w:rFonts w:ascii="Arial" w:hAnsi="Arial" w:cs="Arial"/>
          <w:b/>
          <w:color w:val="000000"/>
          <w:sz w:val="18"/>
          <w:szCs w:val="18"/>
        </w:rPr>
        <w:tab/>
      </w:r>
      <w:r w:rsidRPr="000C7C4E">
        <w:rPr>
          <w:rFonts w:ascii="Arial" w:hAnsi="Arial" w:cs="Arial"/>
          <w:b/>
          <w:color w:val="000000"/>
          <w:sz w:val="18"/>
          <w:szCs w:val="18"/>
        </w:rPr>
        <w:tab/>
      </w:r>
      <w:r w:rsidRPr="000C7C4E">
        <w:rPr>
          <w:rFonts w:ascii="Arial" w:hAnsi="Arial" w:cs="Arial"/>
          <w:b/>
          <w:color w:val="000000"/>
          <w:sz w:val="18"/>
          <w:szCs w:val="18"/>
        </w:rPr>
        <w:tab/>
      </w:r>
      <w:r w:rsidRPr="000C7C4E">
        <w:rPr>
          <w:rFonts w:ascii="Arial" w:hAnsi="Arial" w:cs="Arial"/>
          <w:b/>
          <w:color w:val="000000"/>
          <w:sz w:val="18"/>
          <w:szCs w:val="18"/>
        </w:rPr>
        <w:tab/>
      </w:r>
      <w:r w:rsidRPr="000C7C4E">
        <w:rPr>
          <w:rFonts w:ascii="Arial" w:hAnsi="Arial" w:cs="Arial"/>
          <w:b/>
          <w:color w:val="000000"/>
          <w:sz w:val="18"/>
          <w:szCs w:val="18"/>
        </w:rPr>
        <w:tab/>
        <w:t xml:space="preserve">  </w:t>
      </w:r>
      <w:r w:rsidR="00614744" w:rsidRPr="000C7C4E">
        <w:rPr>
          <w:rFonts w:ascii="Arial" w:hAnsi="Arial" w:cs="Arial"/>
          <w:b/>
          <w:color w:val="000000"/>
          <w:sz w:val="18"/>
          <w:szCs w:val="18"/>
        </w:rPr>
        <w:t xml:space="preserve"> Semester/Year</w:t>
      </w:r>
      <w:r w:rsidR="00614744" w:rsidRPr="000C7C4E">
        <w:rPr>
          <w:rFonts w:ascii="Arial" w:hAnsi="Arial" w:cs="Arial"/>
          <w:b/>
          <w:color w:val="000000"/>
          <w:sz w:val="18"/>
          <w:szCs w:val="18"/>
        </w:rPr>
        <w:tab/>
        <w:t xml:space="preserve">                         ✓</w:t>
      </w:r>
    </w:p>
    <w:tbl>
      <w:tblPr>
        <w:tblStyle w:val="TableGrid"/>
        <w:tblW w:w="9990" w:type="dxa"/>
        <w:tblInd w:w="18" w:type="dxa"/>
        <w:tblLook w:val="04A0" w:firstRow="1" w:lastRow="0" w:firstColumn="1" w:lastColumn="0" w:noHBand="0" w:noVBand="1"/>
      </w:tblPr>
      <w:tblGrid>
        <w:gridCol w:w="6276"/>
        <w:gridCol w:w="3360"/>
        <w:gridCol w:w="354"/>
      </w:tblGrid>
      <w:tr w:rsidR="00614744" w:rsidRPr="000C7C4E" w14:paraId="4205CA4E" w14:textId="77777777" w:rsidTr="00D24BCA">
        <w:trPr>
          <w:trHeight w:val="263"/>
        </w:trPr>
        <w:tc>
          <w:tcPr>
            <w:tcW w:w="6276" w:type="dxa"/>
          </w:tcPr>
          <w:p w14:paraId="2401A48C" w14:textId="77777777" w:rsidR="00614744" w:rsidRPr="000C7C4E" w:rsidRDefault="00614744" w:rsidP="005336EE">
            <w:pPr>
              <w:rPr>
                <w:rFonts w:ascii="Arial" w:hAnsi="Arial" w:cs="Arial"/>
                <w:b/>
                <w:sz w:val="18"/>
                <w:szCs w:val="18"/>
              </w:rPr>
            </w:pPr>
            <w:r w:rsidRPr="000C7C4E">
              <w:rPr>
                <w:rFonts w:ascii="Arial" w:hAnsi="Arial" w:cs="Arial"/>
                <w:b/>
                <w:sz w:val="18"/>
                <w:szCs w:val="18"/>
              </w:rPr>
              <w:t>1.</w:t>
            </w:r>
          </w:p>
          <w:p w14:paraId="6E1266F9" w14:textId="77777777" w:rsidR="00614744" w:rsidRPr="000C7C4E" w:rsidRDefault="00614744" w:rsidP="005336EE">
            <w:pPr>
              <w:rPr>
                <w:rFonts w:ascii="Arial" w:hAnsi="Arial" w:cs="Arial"/>
                <w:b/>
                <w:sz w:val="18"/>
                <w:szCs w:val="18"/>
              </w:rPr>
            </w:pPr>
          </w:p>
        </w:tc>
        <w:tc>
          <w:tcPr>
            <w:tcW w:w="3360" w:type="dxa"/>
          </w:tcPr>
          <w:p w14:paraId="53054FAC" w14:textId="77777777" w:rsidR="00614744" w:rsidRPr="000C7C4E" w:rsidRDefault="00614744" w:rsidP="005336EE">
            <w:pPr>
              <w:rPr>
                <w:rFonts w:ascii="Arial" w:hAnsi="Arial" w:cs="Arial"/>
                <w:b/>
                <w:sz w:val="18"/>
                <w:szCs w:val="18"/>
              </w:rPr>
            </w:pPr>
          </w:p>
        </w:tc>
        <w:tc>
          <w:tcPr>
            <w:tcW w:w="354" w:type="dxa"/>
          </w:tcPr>
          <w:p w14:paraId="0DCE6503" w14:textId="77777777" w:rsidR="00614744" w:rsidRPr="000C7C4E" w:rsidRDefault="00614744" w:rsidP="005336EE">
            <w:pPr>
              <w:rPr>
                <w:rFonts w:ascii="Arial" w:hAnsi="Arial" w:cs="Arial"/>
                <w:b/>
                <w:sz w:val="18"/>
                <w:szCs w:val="18"/>
              </w:rPr>
            </w:pPr>
          </w:p>
        </w:tc>
      </w:tr>
      <w:tr w:rsidR="00614744" w:rsidRPr="000C7C4E" w14:paraId="0DECBFCE" w14:textId="77777777" w:rsidTr="00D24BCA">
        <w:trPr>
          <w:trHeight w:val="263"/>
        </w:trPr>
        <w:tc>
          <w:tcPr>
            <w:tcW w:w="6276" w:type="dxa"/>
          </w:tcPr>
          <w:p w14:paraId="732EDE3C" w14:textId="77777777" w:rsidR="00614744" w:rsidRPr="000C7C4E" w:rsidRDefault="00614744" w:rsidP="00533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r w:rsidRPr="000C7C4E">
              <w:rPr>
                <w:rFonts w:ascii="Arial" w:hAnsi="Arial" w:cs="Arial"/>
                <w:b/>
                <w:color w:val="000000"/>
                <w:sz w:val="18"/>
                <w:szCs w:val="18"/>
              </w:rPr>
              <w:t>2.</w:t>
            </w:r>
          </w:p>
          <w:p w14:paraId="6810A412" w14:textId="77777777" w:rsidR="00614744" w:rsidRPr="000C7C4E" w:rsidRDefault="00614744" w:rsidP="00533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p>
        </w:tc>
        <w:tc>
          <w:tcPr>
            <w:tcW w:w="3360" w:type="dxa"/>
          </w:tcPr>
          <w:p w14:paraId="6173458A" w14:textId="77777777" w:rsidR="00614744" w:rsidRPr="000C7C4E" w:rsidRDefault="00614744" w:rsidP="00533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p>
        </w:tc>
        <w:tc>
          <w:tcPr>
            <w:tcW w:w="354" w:type="dxa"/>
          </w:tcPr>
          <w:p w14:paraId="1E3FBAC4" w14:textId="77777777" w:rsidR="00614744" w:rsidRPr="000C7C4E" w:rsidRDefault="00614744" w:rsidP="005336EE">
            <w:pPr>
              <w:rPr>
                <w:rFonts w:ascii="Arial" w:hAnsi="Arial" w:cs="Arial"/>
                <w:b/>
                <w:sz w:val="18"/>
                <w:szCs w:val="18"/>
              </w:rPr>
            </w:pPr>
          </w:p>
        </w:tc>
      </w:tr>
      <w:tr w:rsidR="00614744" w:rsidRPr="000C7C4E" w14:paraId="073ECE3A" w14:textId="77777777" w:rsidTr="00D24BCA">
        <w:trPr>
          <w:trHeight w:val="263"/>
        </w:trPr>
        <w:tc>
          <w:tcPr>
            <w:tcW w:w="6276" w:type="dxa"/>
          </w:tcPr>
          <w:p w14:paraId="4E870A11" w14:textId="77777777" w:rsidR="00614744" w:rsidRPr="000C7C4E" w:rsidRDefault="00614744" w:rsidP="00533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r w:rsidRPr="000C7C4E">
              <w:rPr>
                <w:rFonts w:ascii="Arial" w:hAnsi="Arial" w:cs="Arial"/>
                <w:b/>
                <w:color w:val="000000"/>
                <w:sz w:val="18"/>
                <w:szCs w:val="18"/>
              </w:rPr>
              <w:t>3.</w:t>
            </w:r>
          </w:p>
          <w:p w14:paraId="2D9A0BEA" w14:textId="77777777" w:rsidR="00614744" w:rsidRPr="000C7C4E" w:rsidRDefault="00614744" w:rsidP="00533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p>
        </w:tc>
        <w:tc>
          <w:tcPr>
            <w:tcW w:w="3360" w:type="dxa"/>
          </w:tcPr>
          <w:p w14:paraId="09C7CC67" w14:textId="77777777" w:rsidR="00614744" w:rsidRPr="000C7C4E" w:rsidRDefault="00614744" w:rsidP="00533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p>
        </w:tc>
        <w:tc>
          <w:tcPr>
            <w:tcW w:w="354" w:type="dxa"/>
          </w:tcPr>
          <w:p w14:paraId="50F94E54" w14:textId="77777777" w:rsidR="00614744" w:rsidRPr="000C7C4E" w:rsidRDefault="00614744" w:rsidP="005336EE">
            <w:pPr>
              <w:rPr>
                <w:rFonts w:ascii="Arial" w:hAnsi="Arial" w:cs="Arial"/>
                <w:b/>
                <w:sz w:val="18"/>
                <w:szCs w:val="18"/>
              </w:rPr>
            </w:pPr>
          </w:p>
        </w:tc>
      </w:tr>
      <w:tr w:rsidR="00614744" w:rsidRPr="000C7C4E" w14:paraId="4AEFDC6D" w14:textId="77777777" w:rsidTr="00D24BCA">
        <w:trPr>
          <w:trHeight w:val="283"/>
        </w:trPr>
        <w:tc>
          <w:tcPr>
            <w:tcW w:w="6276" w:type="dxa"/>
          </w:tcPr>
          <w:p w14:paraId="0F7A3528" w14:textId="77777777" w:rsidR="00614744" w:rsidRPr="000C7C4E" w:rsidRDefault="00614744" w:rsidP="00533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r w:rsidRPr="000C7C4E">
              <w:rPr>
                <w:rFonts w:ascii="Arial" w:hAnsi="Arial" w:cs="Arial"/>
                <w:b/>
                <w:color w:val="000000"/>
                <w:sz w:val="18"/>
                <w:szCs w:val="18"/>
              </w:rPr>
              <w:t>4.</w:t>
            </w:r>
          </w:p>
          <w:p w14:paraId="5E55E7D7" w14:textId="77777777" w:rsidR="00614744" w:rsidRPr="000C7C4E" w:rsidRDefault="00614744" w:rsidP="00533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p>
        </w:tc>
        <w:tc>
          <w:tcPr>
            <w:tcW w:w="3360" w:type="dxa"/>
          </w:tcPr>
          <w:p w14:paraId="20AC18AC" w14:textId="77777777" w:rsidR="00614744" w:rsidRPr="000C7C4E" w:rsidRDefault="00614744" w:rsidP="00533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p>
        </w:tc>
        <w:tc>
          <w:tcPr>
            <w:tcW w:w="354" w:type="dxa"/>
          </w:tcPr>
          <w:p w14:paraId="053B31BD" w14:textId="77777777" w:rsidR="00614744" w:rsidRPr="000C7C4E" w:rsidRDefault="00614744" w:rsidP="005336EE">
            <w:pPr>
              <w:rPr>
                <w:rFonts w:ascii="Arial" w:hAnsi="Arial" w:cs="Arial"/>
                <w:b/>
                <w:sz w:val="18"/>
                <w:szCs w:val="18"/>
              </w:rPr>
            </w:pPr>
          </w:p>
        </w:tc>
      </w:tr>
      <w:tr w:rsidR="00614744" w:rsidRPr="000C7C4E" w14:paraId="4108F2B2" w14:textId="77777777" w:rsidTr="00D24BCA">
        <w:trPr>
          <w:trHeight w:val="263"/>
        </w:trPr>
        <w:tc>
          <w:tcPr>
            <w:tcW w:w="6276" w:type="dxa"/>
          </w:tcPr>
          <w:p w14:paraId="6EE82759" w14:textId="77777777" w:rsidR="00614744" w:rsidRPr="000C7C4E" w:rsidRDefault="00614744" w:rsidP="00533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r w:rsidRPr="000C7C4E">
              <w:rPr>
                <w:rFonts w:ascii="Arial" w:hAnsi="Arial" w:cs="Arial"/>
                <w:b/>
                <w:color w:val="000000"/>
                <w:sz w:val="18"/>
                <w:szCs w:val="18"/>
              </w:rPr>
              <w:t>5.</w:t>
            </w:r>
          </w:p>
          <w:p w14:paraId="5B3A74CC" w14:textId="77777777" w:rsidR="00614744" w:rsidRPr="000C7C4E" w:rsidRDefault="00614744" w:rsidP="00533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p>
        </w:tc>
        <w:tc>
          <w:tcPr>
            <w:tcW w:w="3360" w:type="dxa"/>
          </w:tcPr>
          <w:p w14:paraId="6C9F8C80" w14:textId="77777777" w:rsidR="00614744" w:rsidRPr="000C7C4E" w:rsidRDefault="00614744" w:rsidP="00533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p>
        </w:tc>
        <w:tc>
          <w:tcPr>
            <w:tcW w:w="354" w:type="dxa"/>
          </w:tcPr>
          <w:p w14:paraId="3FDDF4E6" w14:textId="77777777" w:rsidR="00614744" w:rsidRPr="000C7C4E" w:rsidRDefault="00614744" w:rsidP="005336EE">
            <w:pPr>
              <w:rPr>
                <w:rFonts w:ascii="Arial" w:hAnsi="Arial" w:cs="Arial"/>
                <w:b/>
                <w:sz w:val="18"/>
                <w:szCs w:val="18"/>
              </w:rPr>
            </w:pPr>
          </w:p>
        </w:tc>
      </w:tr>
      <w:tr w:rsidR="00614744" w:rsidRPr="000C7C4E" w14:paraId="6821E6E0" w14:textId="77777777" w:rsidTr="00D24BCA">
        <w:trPr>
          <w:trHeight w:val="283"/>
        </w:trPr>
        <w:tc>
          <w:tcPr>
            <w:tcW w:w="6276" w:type="dxa"/>
          </w:tcPr>
          <w:p w14:paraId="0F537A06" w14:textId="77777777" w:rsidR="00614744" w:rsidRPr="000C7C4E" w:rsidRDefault="00614744" w:rsidP="00533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r w:rsidRPr="000C7C4E">
              <w:rPr>
                <w:rFonts w:ascii="Arial" w:hAnsi="Arial" w:cs="Arial"/>
                <w:b/>
                <w:color w:val="000000"/>
                <w:sz w:val="18"/>
                <w:szCs w:val="18"/>
              </w:rPr>
              <w:t>6.</w:t>
            </w:r>
          </w:p>
          <w:p w14:paraId="107CE61D" w14:textId="77777777" w:rsidR="00614744" w:rsidRPr="000C7C4E" w:rsidRDefault="00614744" w:rsidP="00533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p>
        </w:tc>
        <w:tc>
          <w:tcPr>
            <w:tcW w:w="3360" w:type="dxa"/>
          </w:tcPr>
          <w:p w14:paraId="2294A746" w14:textId="77777777" w:rsidR="00614744" w:rsidRPr="000C7C4E" w:rsidRDefault="00614744" w:rsidP="00533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p>
        </w:tc>
        <w:tc>
          <w:tcPr>
            <w:tcW w:w="354" w:type="dxa"/>
          </w:tcPr>
          <w:p w14:paraId="3BE1FFDF" w14:textId="77777777" w:rsidR="00614744" w:rsidRPr="000C7C4E" w:rsidRDefault="00614744" w:rsidP="005336EE">
            <w:pPr>
              <w:rPr>
                <w:rFonts w:ascii="Arial" w:hAnsi="Arial" w:cs="Arial"/>
                <w:b/>
                <w:sz w:val="18"/>
                <w:szCs w:val="18"/>
              </w:rPr>
            </w:pPr>
          </w:p>
        </w:tc>
      </w:tr>
      <w:tr w:rsidR="003019AA" w:rsidRPr="000C7C4E" w14:paraId="13637C34" w14:textId="77777777" w:rsidTr="00D24BCA">
        <w:trPr>
          <w:trHeight w:val="283"/>
        </w:trPr>
        <w:tc>
          <w:tcPr>
            <w:tcW w:w="6276" w:type="dxa"/>
          </w:tcPr>
          <w:p w14:paraId="56DAA7DC" w14:textId="1F9C1EBE" w:rsidR="003019AA" w:rsidRPr="000C7C4E" w:rsidRDefault="003019AA" w:rsidP="00B55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r w:rsidRPr="000C7C4E">
              <w:rPr>
                <w:rFonts w:ascii="Arial" w:hAnsi="Arial" w:cs="Arial"/>
                <w:b/>
                <w:color w:val="000000"/>
                <w:sz w:val="18"/>
                <w:szCs w:val="18"/>
              </w:rPr>
              <w:t>7</w:t>
            </w:r>
          </w:p>
          <w:p w14:paraId="1D6697AA" w14:textId="77777777" w:rsidR="003019AA" w:rsidRPr="000C7C4E" w:rsidRDefault="003019AA" w:rsidP="00B55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p>
        </w:tc>
        <w:tc>
          <w:tcPr>
            <w:tcW w:w="3360" w:type="dxa"/>
          </w:tcPr>
          <w:p w14:paraId="03D50816" w14:textId="77777777" w:rsidR="003019AA" w:rsidRPr="000C7C4E" w:rsidRDefault="003019AA" w:rsidP="00B55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p>
        </w:tc>
        <w:tc>
          <w:tcPr>
            <w:tcW w:w="354" w:type="dxa"/>
          </w:tcPr>
          <w:p w14:paraId="1EA3F7BB" w14:textId="77777777" w:rsidR="003019AA" w:rsidRPr="000C7C4E" w:rsidRDefault="003019AA" w:rsidP="00B55AC2">
            <w:pPr>
              <w:rPr>
                <w:rFonts w:ascii="Arial" w:hAnsi="Arial" w:cs="Arial"/>
                <w:b/>
                <w:sz w:val="18"/>
                <w:szCs w:val="18"/>
              </w:rPr>
            </w:pPr>
          </w:p>
        </w:tc>
      </w:tr>
    </w:tbl>
    <w:p w14:paraId="6AA0A45D" w14:textId="77777777" w:rsidR="003019AA" w:rsidRPr="000C7C4E" w:rsidRDefault="003019AA" w:rsidP="00301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p>
    <w:p w14:paraId="799489B7" w14:textId="2E6A1A8B" w:rsidR="00D24BCA" w:rsidRPr="000C7C4E" w:rsidRDefault="00D24BCA" w:rsidP="00D24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r w:rsidRPr="000C7C4E">
        <w:rPr>
          <w:rFonts w:ascii="Arial" w:hAnsi="Arial" w:cs="Arial"/>
          <w:b/>
          <w:color w:val="000000"/>
          <w:sz w:val="18"/>
          <w:szCs w:val="18"/>
        </w:rPr>
        <w:t>Capstone</w:t>
      </w:r>
    </w:p>
    <w:tbl>
      <w:tblPr>
        <w:tblStyle w:val="TableGrid"/>
        <w:tblW w:w="9990" w:type="dxa"/>
        <w:tblInd w:w="18" w:type="dxa"/>
        <w:tblLook w:val="04A0" w:firstRow="1" w:lastRow="0" w:firstColumn="1" w:lastColumn="0" w:noHBand="0" w:noVBand="1"/>
      </w:tblPr>
      <w:tblGrid>
        <w:gridCol w:w="6276"/>
        <w:gridCol w:w="3360"/>
        <w:gridCol w:w="354"/>
      </w:tblGrid>
      <w:tr w:rsidR="00D24BCA" w:rsidRPr="000C7C4E" w14:paraId="23E14C33" w14:textId="77777777" w:rsidTr="00B55AC2">
        <w:trPr>
          <w:trHeight w:val="263"/>
        </w:trPr>
        <w:tc>
          <w:tcPr>
            <w:tcW w:w="6276" w:type="dxa"/>
          </w:tcPr>
          <w:p w14:paraId="52741788" w14:textId="77777777" w:rsidR="00D24BCA" w:rsidRPr="000C7C4E" w:rsidRDefault="00D24BCA" w:rsidP="00B55AC2">
            <w:pPr>
              <w:rPr>
                <w:rFonts w:ascii="Arial" w:hAnsi="Arial" w:cs="Arial"/>
                <w:b/>
                <w:sz w:val="18"/>
                <w:szCs w:val="18"/>
              </w:rPr>
            </w:pPr>
            <w:r w:rsidRPr="000C7C4E">
              <w:rPr>
                <w:rFonts w:ascii="Arial" w:hAnsi="Arial" w:cs="Arial"/>
                <w:b/>
                <w:sz w:val="18"/>
                <w:szCs w:val="18"/>
              </w:rPr>
              <w:t>1.</w:t>
            </w:r>
          </w:p>
          <w:p w14:paraId="4AB7A588" w14:textId="77777777" w:rsidR="00D24BCA" w:rsidRPr="000C7C4E" w:rsidRDefault="00D24BCA" w:rsidP="00B55AC2">
            <w:pPr>
              <w:rPr>
                <w:rFonts w:ascii="Arial" w:hAnsi="Arial" w:cs="Arial"/>
                <w:b/>
                <w:sz w:val="18"/>
                <w:szCs w:val="18"/>
              </w:rPr>
            </w:pPr>
          </w:p>
        </w:tc>
        <w:tc>
          <w:tcPr>
            <w:tcW w:w="3360" w:type="dxa"/>
          </w:tcPr>
          <w:p w14:paraId="0256262E" w14:textId="77777777" w:rsidR="00D24BCA" w:rsidRPr="000C7C4E" w:rsidRDefault="00D24BCA" w:rsidP="00B55AC2">
            <w:pPr>
              <w:rPr>
                <w:rFonts w:ascii="Arial" w:hAnsi="Arial" w:cs="Arial"/>
                <w:b/>
                <w:sz w:val="18"/>
                <w:szCs w:val="18"/>
              </w:rPr>
            </w:pPr>
          </w:p>
        </w:tc>
        <w:tc>
          <w:tcPr>
            <w:tcW w:w="354" w:type="dxa"/>
          </w:tcPr>
          <w:p w14:paraId="3E036909" w14:textId="77777777" w:rsidR="00D24BCA" w:rsidRPr="000C7C4E" w:rsidRDefault="00D24BCA" w:rsidP="00B55AC2">
            <w:pPr>
              <w:rPr>
                <w:rFonts w:ascii="Arial" w:hAnsi="Arial" w:cs="Arial"/>
                <w:b/>
                <w:sz w:val="18"/>
                <w:szCs w:val="18"/>
              </w:rPr>
            </w:pPr>
          </w:p>
        </w:tc>
      </w:tr>
    </w:tbl>
    <w:p w14:paraId="2936DB27" w14:textId="33BDAAEE" w:rsidR="00D65690" w:rsidRPr="000C7C4E" w:rsidRDefault="00D65690" w:rsidP="002C59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bookmarkStart w:id="0" w:name="_GoBack"/>
      <w:bookmarkEnd w:id="0"/>
    </w:p>
    <w:sectPr w:rsidR="00D65690" w:rsidRPr="000C7C4E" w:rsidSect="00610D00">
      <w:pgSz w:w="12240" w:h="15840"/>
      <w:pgMar w:top="792" w:right="1152" w:bottom="432" w:left="1152" w:header="720" w:footer="720" w:gutter="0"/>
      <w:pgBorders w:display="firstPage" w:offsetFrom="page">
        <w:top w:val="thinThickSmallGap" w:sz="24" w:space="31" w:color="auto"/>
        <w:left w:val="thinThickSmallGap" w:sz="24" w:space="31" w:color="auto"/>
        <w:bottom w:val="thickThinSmallGap" w:sz="24" w:space="31" w:color="auto"/>
        <w:right w:val="thickThinSmallGap" w:sz="24"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31A1F"/>
    <w:multiLevelType w:val="hybridMultilevel"/>
    <w:tmpl w:val="43CE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B3"/>
    <w:rsid w:val="00075753"/>
    <w:rsid w:val="00076316"/>
    <w:rsid w:val="00076DCC"/>
    <w:rsid w:val="000A3914"/>
    <w:rsid w:val="000C7C4E"/>
    <w:rsid w:val="000F360B"/>
    <w:rsid w:val="00110413"/>
    <w:rsid w:val="00114292"/>
    <w:rsid w:val="001266A8"/>
    <w:rsid w:val="00170AFB"/>
    <w:rsid w:val="00195736"/>
    <w:rsid w:val="001B1D01"/>
    <w:rsid w:val="001C2595"/>
    <w:rsid w:val="00202E15"/>
    <w:rsid w:val="00236526"/>
    <w:rsid w:val="00245077"/>
    <w:rsid w:val="00257718"/>
    <w:rsid w:val="00262BE1"/>
    <w:rsid w:val="00264FA7"/>
    <w:rsid w:val="002A09B6"/>
    <w:rsid w:val="002C59F2"/>
    <w:rsid w:val="002F4C1C"/>
    <w:rsid w:val="003019AA"/>
    <w:rsid w:val="0030713D"/>
    <w:rsid w:val="003A17D9"/>
    <w:rsid w:val="003A2E4B"/>
    <w:rsid w:val="004245A2"/>
    <w:rsid w:val="004370C8"/>
    <w:rsid w:val="004B20C0"/>
    <w:rsid w:val="004C7331"/>
    <w:rsid w:val="004C79B3"/>
    <w:rsid w:val="004C7F27"/>
    <w:rsid w:val="004E0BBD"/>
    <w:rsid w:val="004F6BD9"/>
    <w:rsid w:val="00503F0E"/>
    <w:rsid w:val="005336EE"/>
    <w:rsid w:val="005603D5"/>
    <w:rsid w:val="005B7BBD"/>
    <w:rsid w:val="005F3C44"/>
    <w:rsid w:val="00602808"/>
    <w:rsid w:val="00610D00"/>
    <w:rsid w:val="00614744"/>
    <w:rsid w:val="00665FB5"/>
    <w:rsid w:val="0069751C"/>
    <w:rsid w:val="006B2B29"/>
    <w:rsid w:val="006B6689"/>
    <w:rsid w:val="006C314A"/>
    <w:rsid w:val="006F5B6A"/>
    <w:rsid w:val="00703211"/>
    <w:rsid w:val="007154AD"/>
    <w:rsid w:val="00715A10"/>
    <w:rsid w:val="00734C2E"/>
    <w:rsid w:val="00771D65"/>
    <w:rsid w:val="007A27D5"/>
    <w:rsid w:val="007B2E85"/>
    <w:rsid w:val="007C6BF6"/>
    <w:rsid w:val="00842ACB"/>
    <w:rsid w:val="00852FBB"/>
    <w:rsid w:val="00857F17"/>
    <w:rsid w:val="00896593"/>
    <w:rsid w:val="008B6BBD"/>
    <w:rsid w:val="008C24CF"/>
    <w:rsid w:val="008C6744"/>
    <w:rsid w:val="008C6B39"/>
    <w:rsid w:val="008E6E5E"/>
    <w:rsid w:val="008F42AC"/>
    <w:rsid w:val="00926B65"/>
    <w:rsid w:val="009347B3"/>
    <w:rsid w:val="00946210"/>
    <w:rsid w:val="00952318"/>
    <w:rsid w:val="00953ABE"/>
    <w:rsid w:val="0096574E"/>
    <w:rsid w:val="00981262"/>
    <w:rsid w:val="009A3F2C"/>
    <w:rsid w:val="009A4147"/>
    <w:rsid w:val="009A6E67"/>
    <w:rsid w:val="009B133D"/>
    <w:rsid w:val="009B669C"/>
    <w:rsid w:val="009D579A"/>
    <w:rsid w:val="00A40E3C"/>
    <w:rsid w:val="00B07A4F"/>
    <w:rsid w:val="00B2239F"/>
    <w:rsid w:val="00B345BC"/>
    <w:rsid w:val="00B54382"/>
    <w:rsid w:val="00B55AC2"/>
    <w:rsid w:val="00B74F17"/>
    <w:rsid w:val="00B85EC9"/>
    <w:rsid w:val="00B977AF"/>
    <w:rsid w:val="00BF1B00"/>
    <w:rsid w:val="00C62C70"/>
    <w:rsid w:val="00C64A5F"/>
    <w:rsid w:val="00CA2801"/>
    <w:rsid w:val="00CD0E1D"/>
    <w:rsid w:val="00CD184C"/>
    <w:rsid w:val="00CE63F0"/>
    <w:rsid w:val="00D24BCA"/>
    <w:rsid w:val="00D3179A"/>
    <w:rsid w:val="00D65690"/>
    <w:rsid w:val="00D81A41"/>
    <w:rsid w:val="00D8673C"/>
    <w:rsid w:val="00D919BC"/>
    <w:rsid w:val="00E257F7"/>
    <w:rsid w:val="00E9679B"/>
    <w:rsid w:val="00F57942"/>
    <w:rsid w:val="00FC10F9"/>
    <w:rsid w:val="00FD6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185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6316"/>
    <w:rPr>
      <w:color w:val="0000FF" w:themeColor="hyperlink"/>
      <w:u w:val="single"/>
    </w:rPr>
  </w:style>
  <w:style w:type="paragraph" w:styleId="ListParagraph">
    <w:name w:val="List Paragraph"/>
    <w:basedOn w:val="Normal"/>
    <w:uiPriority w:val="34"/>
    <w:qFormat/>
    <w:rsid w:val="0030713D"/>
    <w:pPr>
      <w:ind w:left="720"/>
      <w:contextualSpacing/>
    </w:pPr>
  </w:style>
  <w:style w:type="character" w:styleId="FollowedHyperlink">
    <w:name w:val="FollowedHyperlink"/>
    <w:basedOn w:val="DefaultParagraphFont"/>
    <w:uiPriority w:val="99"/>
    <w:semiHidden/>
    <w:unhideWhenUsed/>
    <w:rsid w:val="00852FBB"/>
    <w:rPr>
      <w:color w:val="800080" w:themeColor="followedHyperlink"/>
      <w:u w:val="single"/>
    </w:rPr>
  </w:style>
  <w:style w:type="paragraph" w:styleId="BalloonText">
    <w:name w:val="Balloon Text"/>
    <w:basedOn w:val="Normal"/>
    <w:link w:val="BalloonTextChar"/>
    <w:uiPriority w:val="99"/>
    <w:semiHidden/>
    <w:unhideWhenUsed/>
    <w:rsid w:val="00926B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B65"/>
    <w:rPr>
      <w:rFonts w:ascii="Lucida Grande" w:hAnsi="Lucida Grande" w:cs="Lucida Grande"/>
      <w:sz w:val="18"/>
      <w:szCs w:val="18"/>
    </w:rPr>
  </w:style>
  <w:style w:type="paragraph" w:customStyle="1" w:styleId="sc-BodyText">
    <w:name w:val="sc-BodyText"/>
    <w:basedOn w:val="Normal"/>
    <w:rsid w:val="000C7C4E"/>
    <w:pPr>
      <w:spacing w:before="60" w:line="180" w:lineRule="exact"/>
    </w:pPr>
    <w:rPr>
      <w:rFonts w:ascii="Adobe Garamond Pro" w:eastAsia="Times New Roman" w:hAnsi="Adobe Garamond Pro" w:cs="Times New Roman"/>
      <w:sz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6316"/>
    <w:rPr>
      <w:color w:val="0000FF" w:themeColor="hyperlink"/>
      <w:u w:val="single"/>
    </w:rPr>
  </w:style>
  <w:style w:type="paragraph" w:styleId="ListParagraph">
    <w:name w:val="List Paragraph"/>
    <w:basedOn w:val="Normal"/>
    <w:uiPriority w:val="34"/>
    <w:qFormat/>
    <w:rsid w:val="0030713D"/>
    <w:pPr>
      <w:ind w:left="720"/>
      <w:contextualSpacing/>
    </w:pPr>
  </w:style>
  <w:style w:type="character" w:styleId="FollowedHyperlink">
    <w:name w:val="FollowedHyperlink"/>
    <w:basedOn w:val="DefaultParagraphFont"/>
    <w:uiPriority w:val="99"/>
    <w:semiHidden/>
    <w:unhideWhenUsed/>
    <w:rsid w:val="00852FBB"/>
    <w:rPr>
      <w:color w:val="800080" w:themeColor="followedHyperlink"/>
      <w:u w:val="single"/>
    </w:rPr>
  </w:style>
  <w:style w:type="paragraph" w:styleId="BalloonText">
    <w:name w:val="Balloon Text"/>
    <w:basedOn w:val="Normal"/>
    <w:link w:val="BalloonTextChar"/>
    <w:uiPriority w:val="99"/>
    <w:semiHidden/>
    <w:unhideWhenUsed/>
    <w:rsid w:val="00926B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B65"/>
    <w:rPr>
      <w:rFonts w:ascii="Lucida Grande" w:hAnsi="Lucida Grande" w:cs="Lucida Grande"/>
      <w:sz w:val="18"/>
      <w:szCs w:val="18"/>
    </w:rPr>
  </w:style>
  <w:style w:type="paragraph" w:customStyle="1" w:styleId="sc-BodyText">
    <w:name w:val="sc-BodyText"/>
    <w:basedOn w:val="Normal"/>
    <w:rsid w:val="000C7C4E"/>
    <w:pPr>
      <w:spacing w:before="60" w:line="180" w:lineRule="exact"/>
    </w:pPr>
    <w:rPr>
      <w:rFonts w:ascii="Adobe Garamond Pro" w:eastAsia="Times New Roman" w:hAnsi="Adobe Garamond Pro" w:cs="Times New Roman"/>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889FEF3-6322-BE4A-AAF1-A27C4136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508</Words>
  <Characters>2899</Characters>
  <Application>Microsoft Macintosh Word</Application>
  <DocSecurity>0</DocSecurity>
  <Lines>24</Lines>
  <Paragraphs>6</Paragraphs>
  <ScaleCrop>false</ScaleCrop>
  <Company>Wellesley College</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LTS</dc:creator>
  <cp:keywords/>
  <dc:description/>
  <cp:lastModifiedBy>Wellesley  College</cp:lastModifiedBy>
  <cp:revision>21</cp:revision>
  <cp:lastPrinted>2018-03-05T19:06:00Z</cp:lastPrinted>
  <dcterms:created xsi:type="dcterms:W3CDTF">2017-03-22T14:36:00Z</dcterms:created>
  <dcterms:modified xsi:type="dcterms:W3CDTF">2018-03-07T14:59:00Z</dcterms:modified>
</cp:coreProperties>
</file>